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DD01C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BA1B06">
              <w:fldChar w:fldCharType="begin"/>
            </w:r>
            <w:r w:rsidR="00BA1B06">
              <w:instrText xml:space="preserve"> NOTEREF _Ref496436595 \h  \* MERGEFORMAT </w:instrText>
            </w:r>
            <w:r w:rsidR="00BA1B06">
              <w:fldChar w:fldCharType="separate"/>
            </w:r>
            <w:r w:rsidRPr="00C63419">
              <w:t>2</w:t>
            </w:r>
            <w:r w:rsidR="00BA1B06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DD01C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B2 Zvyšovanie bezpečnosti a dostupnosti sídiel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4C403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6F7847" w:rsidRPr="004C403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D1604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8E008A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bookmarkEnd w:id="2"/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67"/>
        <w:gridCol w:w="2330"/>
        <w:gridCol w:w="4644"/>
        <w:gridCol w:w="1777"/>
        <w:gridCol w:w="1393"/>
        <w:gridCol w:w="4803"/>
      </w:tblGrid>
      <w:tr w:rsidR="00E173D5" w:rsidRPr="00334C9E" w:rsidTr="000510B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0510B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6F7847" w:rsidRPr="000510B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6F7847" w:rsidRPr="005552FE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CE4598" w:rsidP="00CE45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realizáciou sa dosiahnu plánované ciele projektu.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CE4598" w:rsidP="00CE45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2.3.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B01460" w:rsidDel="006F7847" w:rsidRDefault="006F7847" w:rsidP="00B01460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D04302" w:rsidRDefault="006F7847" w:rsidP="00B01460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:rsidTr="000510B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B01460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:rsidTr="000510BE">
        <w:trPr>
          <w:trHeight w:val="85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:rsidTr="000510BE">
        <w:trPr>
          <w:trHeight w:val="53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:rsidR="000510BE" w:rsidRPr="008E008A" w:rsidRDefault="000510BE" w:rsidP="00B01460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B01460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4265BB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0510BE"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4265BB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0510BE" w:rsidRPr="008E008A">
              <w:rPr>
                <w:rFonts w:cs="Arial"/>
                <w:color w:val="000000" w:themeColor="text1"/>
              </w:rPr>
              <w:t>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4265BB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0510BE"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265BB" w:rsidRPr="00334C9E" w:rsidRDefault="004265B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265BB" w:rsidRPr="00334C9E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5C4951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B01460">
            <w:pPr>
              <w:jc w:val="center"/>
              <w:rPr>
                <w:rFonts w:cs="Arial"/>
                <w:color w:val="000000" w:themeColor="text1"/>
              </w:rPr>
            </w:pPr>
          </w:p>
          <w:p w:rsidR="004265BB" w:rsidRPr="00334C9E" w:rsidRDefault="004265BB" w:rsidP="00B01460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265BB" w:rsidRPr="00334C9E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2B3F6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B01460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:rsidR="009459EB" w:rsidRPr="00334C9E" w:rsidRDefault="00FD1604" w:rsidP="00B01460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265BB" w:rsidRPr="00334C9E" w:rsidRDefault="004265B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B01460" w:rsidRDefault="00FD1604">
            <w:pPr>
              <w:spacing w:after="160" w:line="259" w:lineRule="auto"/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eastAsia="Times New Roman" w:cs="Arial"/>
                <w:lang w:eastAsia="sk-SK"/>
              </w:rPr>
              <w:t xml:space="preserve">2.2. </w:t>
            </w:r>
            <w:r w:rsidR="004C403E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B01460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</w:p>
          <w:p w:rsidR="004265BB" w:rsidRPr="005C4951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B01460" w:rsidRDefault="00FD1604">
            <w:pPr>
              <w:spacing w:after="160" w:line="259" w:lineRule="auto"/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B01460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</w:p>
          <w:p w:rsidR="004265BB" w:rsidRPr="005C4951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0/1/3/5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FD160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265BB" w:rsidRPr="00334C9E" w:rsidRDefault="004265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AE3DCA" w:rsidRPr="00334C9E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E3DCA" w:rsidRPr="00334C9E" w:rsidRDefault="00AE3DCA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6649F0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A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265BB" w:rsidRPr="00334C9E" w:rsidRDefault="004265BB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E3DCA" w:rsidRPr="00334C9E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CA" w:rsidRPr="00334C9E" w:rsidRDefault="00AE3DCA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A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265BB" w:rsidRPr="00334C9E" w:rsidRDefault="004265BB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C403E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265BB" w:rsidRPr="00334C9E" w:rsidRDefault="004265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265B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AE3DCA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6649F0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Default="00AE3DC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4265BB" w:rsidRPr="00334C9E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9F0" w:rsidRPr="00334C9E" w:rsidRDefault="004265BB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649F0" w:rsidRPr="00334C9E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Default="004265BB" w:rsidP="002B3F6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14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265BB">
        <w:rPr>
          <w:rFonts w:cs="Arial"/>
          <w:b/>
          <w:color w:val="000000" w:themeColor="text1"/>
        </w:rPr>
        <w:t>9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DD01C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4C403E" w:rsidP="00B01460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DD01C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77122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2B3F64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B0146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B01460">
        <w:rPr>
          <w:rFonts w:asciiTheme="minorHAnsi" w:hAnsiTheme="minorHAnsi"/>
          <w:lang w:val="sk-SK"/>
        </w:rPr>
        <w:t>Rozlišovacie kritéri</w:t>
      </w:r>
      <w:r w:rsidR="004C403E">
        <w:rPr>
          <w:rFonts w:asciiTheme="minorHAnsi" w:hAnsiTheme="minorHAnsi"/>
          <w:lang w:val="sk-SK"/>
        </w:rPr>
        <w:t>um</w:t>
      </w:r>
      <w:r w:rsidRPr="00B01460">
        <w:rPr>
          <w:rFonts w:asciiTheme="minorHAnsi" w:hAnsiTheme="minorHAnsi"/>
          <w:lang w:val="sk-SK"/>
        </w:rPr>
        <w:t>:</w:t>
      </w:r>
    </w:p>
    <w:p w:rsidR="003B1FA9" w:rsidRPr="00B01460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B01460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B01460">
        <w:rPr>
          <w:rFonts w:asciiTheme="minorHAnsi" w:hAnsiTheme="minorHAnsi"/>
          <w:lang w:val="sk-SK"/>
        </w:rPr>
        <w:t xml:space="preserve">. </w:t>
      </w:r>
      <w:r w:rsidR="004938B3" w:rsidRPr="00B01460">
        <w:rPr>
          <w:rFonts w:asciiTheme="minorHAnsi" w:hAnsiTheme="minorHAnsi" w:cs="Arial"/>
          <w:lang w:val="sk-SK"/>
        </w:rPr>
        <w:t>Toto rozlišovacie kritérium aplikuje výberová komisia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114036" w15:done="0"/>
  <w15:commentEx w15:paraId="23EB622D" w15:done="0"/>
  <w15:commentEx w15:paraId="5D747C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C3" w:rsidRDefault="00DD01C3" w:rsidP="006447D5">
      <w:pPr>
        <w:spacing w:after="0" w:line="240" w:lineRule="auto"/>
      </w:pPr>
      <w:r>
        <w:separator/>
      </w:r>
    </w:p>
  </w:endnote>
  <w:endnote w:type="continuationSeparator" w:id="0">
    <w:p w:rsidR="00DD01C3" w:rsidRDefault="00DD01C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14" w:rsidRDefault="00FB7021" w:rsidP="00041014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321DF2" wp14:editId="5EB399A4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1700" cy="41275"/>
              <wp:effectExtent l="0" t="0" r="19050" b="34925"/>
              <wp:wrapNone/>
              <wp:docPr id="13" name="Rovná spojnic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7917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" strokecolor="#8496b0 [1951]" strokeweight="1.5pt">
              <v:stroke joinstyle="miter"/>
              <o:lock v:ext="edit" shapetype="f"/>
            </v:line>
          </w:pict>
        </mc:Fallback>
      </mc:AlternateConten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B61D1B">
          <w:fldChar w:fldCharType="begin"/>
        </w:r>
        <w:r>
          <w:instrText>PAGE   \* MERGEFORMAT</w:instrText>
        </w:r>
        <w:r w:rsidR="00B61D1B">
          <w:fldChar w:fldCharType="separate"/>
        </w:r>
        <w:r w:rsidR="003F7CB1">
          <w:rPr>
            <w:noProof/>
          </w:rPr>
          <w:t>1</w:t>
        </w:r>
        <w:r w:rsidR="00B61D1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C3" w:rsidRDefault="00DD01C3" w:rsidP="006447D5">
      <w:pPr>
        <w:spacing w:after="0" w:line="240" w:lineRule="auto"/>
      </w:pPr>
      <w:r>
        <w:separator/>
      </w:r>
    </w:p>
  </w:footnote>
  <w:footnote w:type="continuationSeparator" w:id="0">
    <w:p w:rsidR="00DD01C3" w:rsidRDefault="00DD01C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Pr="001F013A" w:rsidRDefault="00592F6E" w:rsidP="001D5D3D">
    <w:pPr>
      <w:pStyle w:val="Hlavika"/>
      <w:rPr>
        <w:rFonts w:ascii="Arial Narrow" w:hAnsi="Arial Narrow"/>
        <w:sz w:val="20"/>
      </w:rPr>
    </w:pPr>
    <w:r w:rsidRPr="00592F6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4080" behindDoc="1" locked="0" layoutInCell="1" allowOverlap="1" wp14:anchorId="7E0A9405" wp14:editId="76DD7A33">
          <wp:simplePos x="0" y="0"/>
          <wp:positionH relativeFrom="column">
            <wp:posOffset>8072755</wp:posOffset>
          </wp:positionH>
          <wp:positionV relativeFrom="paragraph">
            <wp:posOffset>-38100</wp:posOffset>
          </wp:positionV>
          <wp:extent cx="1515110" cy="359410"/>
          <wp:effectExtent l="0" t="0" r="0" b="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F6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1" layoutInCell="1" allowOverlap="1" wp14:anchorId="7CB6753F" wp14:editId="7EBCF083">
          <wp:simplePos x="0" y="0"/>
          <wp:positionH relativeFrom="column">
            <wp:posOffset>5021580</wp:posOffset>
          </wp:positionH>
          <wp:positionV relativeFrom="paragraph">
            <wp:posOffset>-38100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F6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3BFB3882" wp14:editId="2FB3A859">
          <wp:simplePos x="0" y="0"/>
          <wp:positionH relativeFrom="column">
            <wp:posOffset>2499995</wp:posOffset>
          </wp:positionH>
          <wp:positionV relativeFrom="paragraph">
            <wp:posOffset>-38100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F6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0EBB4E10" wp14:editId="42AE8398">
          <wp:simplePos x="0" y="0"/>
          <wp:positionH relativeFrom="column">
            <wp:posOffset>219710</wp:posOffset>
          </wp:positionH>
          <wp:positionV relativeFrom="paragraph">
            <wp:posOffset>-8890</wp:posOffset>
          </wp:positionV>
          <wp:extent cx="737870" cy="358775"/>
          <wp:effectExtent l="0" t="0" r="0" b="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02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90805</wp:posOffset>
              </wp:positionH>
              <wp:positionV relativeFrom="paragraph">
                <wp:posOffset>-1116965</wp:posOffset>
              </wp:positionV>
              <wp:extent cx="10040620" cy="27940"/>
              <wp:effectExtent l="0" t="0" r="17780" b="2921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IoBQx4FAgAAXgQA&#10;AA4AAAAAAAAAAAAAAAAALgIAAGRycy9lMm9Eb2MueG1sUEsBAi0AFAAGAAgAAAAhAKZ3Ug7iAAAA&#10;DQEAAA8AAAAAAAAAAAAAAAAAXwQAAGRycy9kb3ducmV2LnhtbFBLBQYAAAAABAAEAPMAAABuBQAA&#10;AAA=&#10;" strokecolor="#8496b0 [1951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B69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3F64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14A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3F7CB1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65BB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5D48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2F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F6E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D281E"/>
    <w:rsid w:val="005D6275"/>
    <w:rsid w:val="005E071B"/>
    <w:rsid w:val="005E5F54"/>
    <w:rsid w:val="005F092D"/>
    <w:rsid w:val="005F10A6"/>
    <w:rsid w:val="005F1A2A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47350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1004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567D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3DCA"/>
    <w:rsid w:val="00AE7306"/>
    <w:rsid w:val="00AF1EFF"/>
    <w:rsid w:val="00AF201F"/>
    <w:rsid w:val="00AF3F35"/>
    <w:rsid w:val="00AF6C46"/>
    <w:rsid w:val="00B002CF"/>
    <w:rsid w:val="00B01460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1D1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1B06"/>
    <w:rsid w:val="00BA25E7"/>
    <w:rsid w:val="00BA318A"/>
    <w:rsid w:val="00BB3FA7"/>
    <w:rsid w:val="00BB5A46"/>
    <w:rsid w:val="00BB7AEE"/>
    <w:rsid w:val="00BC3D0F"/>
    <w:rsid w:val="00BD01FC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956"/>
    <w:rsid w:val="00C72CF8"/>
    <w:rsid w:val="00C74E0E"/>
    <w:rsid w:val="00C76B16"/>
    <w:rsid w:val="00C7787D"/>
    <w:rsid w:val="00C80F70"/>
    <w:rsid w:val="00C83F7F"/>
    <w:rsid w:val="00C9162D"/>
    <w:rsid w:val="00C95BC8"/>
    <w:rsid w:val="00CA369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4598"/>
    <w:rsid w:val="00CE65FF"/>
    <w:rsid w:val="00CF12B4"/>
    <w:rsid w:val="00CF1494"/>
    <w:rsid w:val="00CF2402"/>
    <w:rsid w:val="00CF4836"/>
    <w:rsid w:val="00CF681D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01C3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34CC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2B09"/>
    <w:rsid w:val="00E93F79"/>
    <w:rsid w:val="00E95D72"/>
    <w:rsid w:val="00E96199"/>
    <w:rsid w:val="00E96885"/>
    <w:rsid w:val="00E9798E"/>
    <w:rsid w:val="00EA2CDD"/>
    <w:rsid w:val="00EA3D10"/>
    <w:rsid w:val="00EA46D6"/>
    <w:rsid w:val="00EA52D4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B7021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63B11"/>
    <w:rsid w:val="00212C3B"/>
    <w:rsid w:val="0035348E"/>
    <w:rsid w:val="003660DC"/>
    <w:rsid w:val="00524C68"/>
    <w:rsid w:val="005A4146"/>
    <w:rsid w:val="00630E72"/>
    <w:rsid w:val="00682DF0"/>
    <w:rsid w:val="006B3B1E"/>
    <w:rsid w:val="007061D5"/>
    <w:rsid w:val="007B6FC1"/>
    <w:rsid w:val="008A4BFD"/>
    <w:rsid w:val="00AD089D"/>
    <w:rsid w:val="00B20F1E"/>
    <w:rsid w:val="00B376F6"/>
    <w:rsid w:val="00B874A2"/>
    <w:rsid w:val="00D02FB4"/>
    <w:rsid w:val="00D710E7"/>
    <w:rsid w:val="00DF176E"/>
    <w:rsid w:val="00EA7464"/>
    <w:rsid w:val="00F60CBA"/>
    <w:rsid w:val="00F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96CF-C3C6-40B8-811E-8AE933E1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2021-03-13T06:35:00Z</dcterms:created>
  <dcterms:modified xsi:type="dcterms:W3CDTF">2021-03-13T06:40:00Z</dcterms:modified>
</cp:coreProperties>
</file>